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CAF" w:rsidRPr="00DB567B" w:rsidRDefault="00DB567B" w:rsidP="00DB567B">
      <w:pPr>
        <w:jc w:val="center"/>
        <w:rPr>
          <w:b/>
          <w:lang w:val="en-US"/>
        </w:rPr>
      </w:pPr>
      <w:r w:rsidRPr="00DB567B">
        <w:rPr>
          <w:b/>
          <w:lang w:val="en-US"/>
        </w:rPr>
        <w:t xml:space="preserve">Diplomatic Conference 2018 - </w:t>
      </w:r>
      <w:r w:rsidR="000F439F" w:rsidRPr="00DB567B">
        <w:rPr>
          <w:b/>
          <w:lang w:val="en-US"/>
        </w:rPr>
        <w:t>Background reading</w:t>
      </w:r>
    </w:p>
    <w:p w:rsidR="000F439F" w:rsidRPr="00DB567B" w:rsidRDefault="000F439F">
      <w:pPr>
        <w:rPr>
          <w:lang w:val="en-US"/>
        </w:rPr>
      </w:pPr>
    </w:p>
    <w:p w:rsidR="000F439F" w:rsidRDefault="000F439F" w:rsidP="000F439F">
      <w:pPr>
        <w:rPr>
          <w:lang w:val="nl-BE"/>
        </w:rPr>
      </w:pPr>
      <w:r>
        <w:rPr>
          <w:b/>
          <w:bCs/>
          <w:lang w:val="nl-NL"/>
        </w:rPr>
        <w:t>Policy Documents</w:t>
      </w:r>
    </w:p>
    <w:p w:rsidR="000F439F" w:rsidRPr="000F439F" w:rsidRDefault="000F439F" w:rsidP="00561FE0">
      <w:pPr>
        <w:numPr>
          <w:ilvl w:val="0"/>
          <w:numId w:val="6"/>
        </w:numPr>
        <w:spacing w:line="252" w:lineRule="auto"/>
        <w:rPr>
          <w:rFonts w:eastAsia="Times New Roman"/>
          <w:lang w:val="nl-BE"/>
        </w:rPr>
      </w:pPr>
      <w:r>
        <w:rPr>
          <w:rFonts w:eastAsia="Times New Roman"/>
          <w:lang w:val="en-GB"/>
        </w:rPr>
        <w:t>Agreement between the International Criminal Court and the European Union on Cooperation and Assistance (2006);</w:t>
      </w:r>
    </w:p>
    <w:p w:rsidR="00DB567B" w:rsidRPr="00DB567B" w:rsidRDefault="00DB567B" w:rsidP="00561FE0">
      <w:pPr>
        <w:numPr>
          <w:ilvl w:val="0"/>
          <w:numId w:val="6"/>
        </w:numPr>
        <w:spacing w:line="252" w:lineRule="auto"/>
        <w:rPr>
          <w:rFonts w:eastAsia="Times New Roman"/>
          <w:lang w:val="nl-BE"/>
        </w:rPr>
      </w:pPr>
      <w:r>
        <w:rPr>
          <w:rFonts w:eastAsia="Times New Roman"/>
          <w:lang w:val="nl-BE"/>
        </w:rPr>
        <w:t>Council of the EU, Council Decision on the International Criminal Court and repealing Common Position 2003/444/CFSP, 21 March 2011;</w:t>
      </w:r>
    </w:p>
    <w:p w:rsidR="000F439F" w:rsidRDefault="000F439F" w:rsidP="00561FE0">
      <w:pPr>
        <w:numPr>
          <w:ilvl w:val="0"/>
          <w:numId w:val="6"/>
        </w:numPr>
        <w:spacing w:line="252" w:lineRule="auto"/>
        <w:rPr>
          <w:rFonts w:eastAsia="Times New Roman"/>
          <w:lang w:val="nl-BE"/>
        </w:rPr>
      </w:pPr>
      <w:r>
        <w:rPr>
          <w:rFonts w:eastAsia="Times New Roman"/>
          <w:lang w:val="en-GB"/>
        </w:rPr>
        <w:t>Council of the EU, Action Plan to Follow-up on the Decision of the Internation</w:t>
      </w:r>
      <w:r>
        <w:rPr>
          <w:rFonts w:eastAsia="Times New Roman"/>
          <w:lang w:val="en-GB"/>
        </w:rPr>
        <w:t>al Criminal Court, 12 July 2011</w:t>
      </w:r>
      <w:r w:rsidR="00DB567B">
        <w:rPr>
          <w:rFonts w:eastAsia="Times New Roman"/>
          <w:lang w:val="en-GB"/>
        </w:rPr>
        <w:t>;</w:t>
      </w:r>
    </w:p>
    <w:p w:rsidR="000F439F" w:rsidRDefault="000F439F" w:rsidP="00561FE0">
      <w:pPr>
        <w:numPr>
          <w:ilvl w:val="0"/>
          <w:numId w:val="6"/>
        </w:numPr>
        <w:spacing w:line="252" w:lineRule="auto"/>
        <w:rPr>
          <w:rFonts w:eastAsia="Times New Roman"/>
          <w:lang w:val="nl-BE"/>
        </w:rPr>
      </w:pPr>
      <w:r>
        <w:rPr>
          <w:rFonts w:eastAsia="Times New Roman"/>
          <w:lang w:val="en-GB"/>
        </w:rPr>
        <w:t>European Parliament, Report on EU Support for the ICC: Facing Challenges and Overcoming Difficulties (2011);</w:t>
      </w:r>
      <w:r>
        <w:rPr>
          <w:rFonts w:eastAsia="Times New Roman"/>
          <w:lang w:val="nl-BE"/>
        </w:rPr>
        <w:t xml:space="preserve"> </w:t>
      </w:r>
    </w:p>
    <w:p w:rsidR="000F439F" w:rsidRPr="000F439F" w:rsidRDefault="000F439F" w:rsidP="00561FE0">
      <w:pPr>
        <w:numPr>
          <w:ilvl w:val="0"/>
          <w:numId w:val="6"/>
        </w:numPr>
        <w:spacing w:line="252" w:lineRule="auto"/>
        <w:rPr>
          <w:rFonts w:eastAsia="Times New Roman"/>
          <w:lang w:val="nl-BE"/>
        </w:rPr>
      </w:pPr>
      <w:r>
        <w:rPr>
          <w:rFonts w:eastAsia="Times New Roman"/>
          <w:lang w:val="en-GB"/>
        </w:rPr>
        <w:t>European Commission – High Representative, ‘Joint Staff Working Document on Advancing the Principle of Complementarity: Toolkit for Bridging the Gap between International &amp; National Justice’, 31 January 2013;</w:t>
      </w:r>
    </w:p>
    <w:p w:rsidR="000F439F" w:rsidRPr="00DB567B" w:rsidRDefault="000F439F" w:rsidP="00561FE0">
      <w:pPr>
        <w:pStyle w:val="ListParagraph"/>
        <w:numPr>
          <w:ilvl w:val="0"/>
          <w:numId w:val="6"/>
        </w:numPr>
        <w:spacing w:line="252" w:lineRule="auto"/>
        <w:contextualSpacing w:val="0"/>
        <w:rPr>
          <w:lang w:val="en-US"/>
        </w:rPr>
      </w:pPr>
      <w:r w:rsidRPr="00DB567B">
        <w:rPr>
          <w:lang w:val="en-US"/>
        </w:rPr>
        <w:t>O.</w:t>
      </w:r>
      <w:r w:rsidRPr="00DB567B">
        <w:rPr>
          <w:lang w:val="en-US"/>
        </w:rPr>
        <w:t xml:space="preserve"> Bekou</w:t>
      </w:r>
      <w:r w:rsidRPr="00DB567B">
        <w:rPr>
          <w:lang w:val="en-US"/>
        </w:rPr>
        <w:t>, ‘</w:t>
      </w:r>
      <w:r w:rsidRPr="00DB567B">
        <w:rPr>
          <w:lang w:val="en-US"/>
        </w:rPr>
        <w:t>Mainstreaming Support f</w:t>
      </w:r>
      <w:r w:rsidRPr="00DB567B">
        <w:rPr>
          <w:lang w:val="en-US"/>
        </w:rPr>
        <w:t xml:space="preserve">or the ICC in the EU’s Policies’, </w:t>
      </w:r>
      <w:r w:rsidRPr="00DB567B">
        <w:rPr>
          <w:lang w:val="en-US"/>
        </w:rPr>
        <w:t xml:space="preserve">Study commissioned by the </w:t>
      </w:r>
      <w:r w:rsidRPr="00DB567B">
        <w:rPr>
          <w:lang w:val="en-US"/>
        </w:rPr>
        <w:t>European Parliament</w:t>
      </w:r>
      <w:r w:rsidR="00561FE0">
        <w:rPr>
          <w:lang w:val="en-US"/>
        </w:rPr>
        <w:t>’s</w:t>
      </w:r>
      <w:bookmarkStart w:id="0" w:name="_GoBack"/>
      <w:bookmarkEnd w:id="0"/>
      <w:r w:rsidRPr="00DB567B">
        <w:rPr>
          <w:lang w:val="en-US"/>
        </w:rPr>
        <w:t xml:space="preserve"> Subcommittee on Human Rights,</w:t>
      </w:r>
      <w:r w:rsidRPr="00DB567B">
        <w:rPr>
          <w:lang w:val="en-US"/>
        </w:rPr>
        <w:t xml:space="preserve"> </w:t>
      </w:r>
      <w:r w:rsidRPr="00DB567B">
        <w:rPr>
          <w:lang w:val="en-US"/>
        </w:rPr>
        <w:t>March 2014</w:t>
      </w:r>
      <w:r w:rsidR="00DB567B">
        <w:rPr>
          <w:lang w:val="en-US"/>
        </w:rPr>
        <w:t>;</w:t>
      </w:r>
    </w:p>
    <w:p w:rsidR="000F439F" w:rsidRPr="00DB567B" w:rsidRDefault="00DB567B" w:rsidP="00561FE0">
      <w:pPr>
        <w:pStyle w:val="ListParagraph"/>
        <w:numPr>
          <w:ilvl w:val="0"/>
          <w:numId w:val="6"/>
        </w:numPr>
        <w:spacing w:line="252" w:lineRule="auto"/>
        <w:contextualSpacing w:val="0"/>
        <w:rPr>
          <w:lang w:val="en-US"/>
        </w:rPr>
      </w:pPr>
      <w:r>
        <w:rPr>
          <w:lang w:val="en-US"/>
        </w:rPr>
        <w:t xml:space="preserve">Council of the EU, </w:t>
      </w:r>
      <w:r w:rsidR="000F439F" w:rsidRPr="00DB567B">
        <w:rPr>
          <w:lang w:val="en-US"/>
        </w:rPr>
        <w:t>EU</w:t>
      </w:r>
      <w:r>
        <w:rPr>
          <w:lang w:val="en-US"/>
        </w:rPr>
        <w:t>’s support to transitional justice, Council Conclusions,</w:t>
      </w:r>
      <w:r w:rsidR="000F439F" w:rsidRPr="00DB567B">
        <w:rPr>
          <w:lang w:val="en-US"/>
        </w:rPr>
        <w:t xml:space="preserve"> </w:t>
      </w:r>
      <w:r>
        <w:rPr>
          <w:lang w:val="en-US"/>
        </w:rPr>
        <w:t xml:space="preserve">The EU’s </w:t>
      </w:r>
      <w:r w:rsidR="000F439F" w:rsidRPr="00DB567B">
        <w:rPr>
          <w:lang w:val="en-US"/>
        </w:rPr>
        <w:t>Policy Framework on Transitional Justice</w:t>
      </w:r>
      <w:r>
        <w:rPr>
          <w:lang w:val="en-US"/>
        </w:rPr>
        <w:t>, 16 November 2015;</w:t>
      </w:r>
    </w:p>
    <w:p w:rsidR="000F439F" w:rsidRPr="00DB567B" w:rsidRDefault="000F439F" w:rsidP="000F439F">
      <w:pPr>
        <w:spacing w:line="252" w:lineRule="auto"/>
        <w:rPr>
          <w:lang w:val="nl-BE"/>
        </w:rPr>
      </w:pPr>
      <w:r w:rsidRPr="00DB567B">
        <w:rPr>
          <w:b/>
          <w:bCs/>
          <w:lang w:val="nl-NL"/>
        </w:rPr>
        <w:t>Literature</w:t>
      </w:r>
    </w:p>
    <w:p w:rsidR="000F439F" w:rsidRPr="00DB567B" w:rsidRDefault="00DB567B" w:rsidP="00561FE0">
      <w:pPr>
        <w:pStyle w:val="ListParagraph"/>
        <w:numPr>
          <w:ilvl w:val="0"/>
          <w:numId w:val="6"/>
        </w:numPr>
        <w:spacing w:line="252" w:lineRule="auto"/>
        <w:contextualSpacing w:val="0"/>
        <w:rPr>
          <w:lang w:val="en-US"/>
        </w:rPr>
      </w:pPr>
      <w:r w:rsidRPr="00DB567B">
        <w:rPr>
          <w:lang w:val="nl-BE"/>
        </w:rPr>
        <w:t xml:space="preserve">L. Davis, </w:t>
      </w:r>
      <w:r w:rsidRPr="00DB567B">
        <w:rPr>
          <w:lang w:val="en-US"/>
        </w:rPr>
        <w:t>‘</w:t>
      </w:r>
      <w:r w:rsidR="000F439F" w:rsidRPr="00DB567B">
        <w:rPr>
          <w:lang w:val="en-US"/>
        </w:rPr>
        <w:t>Peace and Justice in the EU foreign poli</w:t>
      </w:r>
      <w:r w:rsidRPr="00DB567B">
        <w:rPr>
          <w:lang w:val="en-US"/>
        </w:rPr>
        <w:t>cy: from principles to practice’,</w:t>
      </w:r>
      <w:r w:rsidR="000F439F" w:rsidRPr="00DB567B">
        <w:rPr>
          <w:lang w:val="en-US"/>
        </w:rPr>
        <w:t xml:space="preserve"> </w:t>
      </w:r>
      <w:r w:rsidRPr="00DB567B">
        <w:rPr>
          <w:lang w:val="en-US"/>
        </w:rPr>
        <w:t>Transitional Justice Research Institute Paper</w:t>
      </w:r>
      <w:r w:rsidRPr="00DB567B">
        <w:rPr>
          <w:lang w:val="en-US"/>
        </w:rPr>
        <w:t xml:space="preserve"> No. 16-13</w:t>
      </w:r>
      <w:r w:rsidR="000F439F" w:rsidRPr="00DB567B">
        <w:rPr>
          <w:lang w:val="en-US"/>
        </w:rPr>
        <w:t xml:space="preserve">, </w:t>
      </w:r>
      <w:r w:rsidRPr="00DB567B">
        <w:rPr>
          <w:lang w:val="en-US"/>
        </w:rPr>
        <w:t xml:space="preserve">Transitional Justice Institute – Ulster University, </w:t>
      </w:r>
      <w:r w:rsidR="000F439F" w:rsidRPr="00DB567B">
        <w:rPr>
          <w:lang w:val="en-US"/>
        </w:rPr>
        <w:t>2016</w:t>
      </w:r>
      <w:r w:rsidR="00AA06DB">
        <w:rPr>
          <w:lang w:val="en-US"/>
        </w:rPr>
        <w:t>.</w:t>
      </w:r>
    </w:p>
    <w:p w:rsidR="000F439F" w:rsidRDefault="000F439F" w:rsidP="00561FE0">
      <w:pPr>
        <w:numPr>
          <w:ilvl w:val="0"/>
          <w:numId w:val="6"/>
        </w:numPr>
        <w:spacing w:line="252" w:lineRule="auto"/>
        <w:rPr>
          <w:rFonts w:eastAsia="Times New Roman"/>
          <w:lang w:val="nl-BE"/>
        </w:rPr>
      </w:pPr>
      <w:r>
        <w:rPr>
          <w:rFonts w:eastAsia="Times New Roman"/>
          <w:lang w:val="en-GB"/>
        </w:rPr>
        <w:t xml:space="preserve">G Hafner, ‘Selected Legal and Policy Implications Arising from the EU-ICC Agreement of 2006’ in FANJ </w:t>
      </w:r>
      <w:proofErr w:type="spellStart"/>
      <w:r>
        <w:rPr>
          <w:rFonts w:eastAsia="Times New Roman"/>
          <w:lang w:val="en-GB"/>
        </w:rPr>
        <w:t>Goudappel</w:t>
      </w:r>
      <w:proofErr w:type="spellEnd"/>
      <w:r>
        <w:rPr>
          <w:rFonts w:eastAsia="Times New Roman"/>
          <w:lang w:val="en-GB"/>
        </w:rPr>
        <w:t xml:space="preserve">, EMH Hirsch </w:t>
      </w:r>
      <w:proofErr w:type="spellStart"/>
      <w:r>
        <w:rPr>
          <w:rFonts w:eastAsia="Times New Roman"/>
          <w:lang w:val="en-GB"/>
        </w:rPr>
        <w:t>Ballin</w:t>
      </w:r>
      <w:proofErr w:type="spellEnd"/>
      <w:r>
        <w:rPr>
          <w:rFonts w:eastAsia="Times New Roman"/>
          <w:lang w:val="en-GB"/>
        </w:rPr>
        <w:t xml:space="preserve">, </w:t>
      </w:r>
      <w:r>
        <w:rPr>
          <w:rFonts w:eastAsia="Times New Roman"/>
          <w:i/>
          <w:iCs/>
          <w:lang w:val="en-GB"/>
        </w:rPr>
        <w:t xml:space="preserve">Democracy and Rule of Law in the European Union </w:t>
      </w:r>
      <w:r>
        <w:rPr>
          <w:rFonts w:eastAsia="Times New Roman"/>
          <w:lang w:val="en-GB"/>
        </w:rPr>
        <w:t>(Springer, 2016);</w:t>
      </w:r>
    </w:p>
    <w:p w:rsidR="000F439F" w:rsidRDefault="000F439F" w:rsidP="00561FE0">
      <w:pPr>
        <w:numPr>
          <w:ilvl w:val="0"/>
          <w:numId w:val="6"/>
        </w:numPr>
        <w:spacing w:line="252" w:lineRule="auto"/>
        <w:rPr>
          <w:rFonts w:eastAsia="Times New Roman"/>
          <w:lang w:val="nl-BE"/>
        </w:rPr>
      </w:pPr>
      <w:r>
        <w:rPr>
          <w:rFonts w:eastAsia="Times New Roman"/>
          <w:lang w:val="en-GB"/>
        </w:rPr>
        <w:t>A</w:t>
      </w:r>
      <w:r w:rsidR="00DB567B">
        <w:rPr>
          <w:rFonts w:eastAsia="Times New Roman"/>
          <w:lang w:val="en-GB"/>
        </w:rPr>
        <w:t>.</w:t>
      </w:r>
      <w:r>
        <w:rPr>
          <w:rFonts w:eastAsia="Times New Roman"/>
          <w:lang w:val="en-GB"/>
        </w:rPr>
        <w:t xml:space="preserve"> Antoniadis and O</w:t>
      </w:r>
      <w:r w:rsidR="00DB567B">
        <w:rPr>
          <w:rFonts w:eastAsia="Times New Roman"/>
          <w:lang w:val="en-GB"/>
        </w:rPr>
        <w:t>.</w:t>
      </w:r>
      <w:r>
        <w:rPr>
          <w:rFonts w:eastAsia="Times New Roman"/>
          <w:lang w:val="en-GB"/>
        </w:rPr>
        <w:t xml:space="preserve"> Bekou, ‘The European Union and the International Criminal Court: An Awkward Symbiosis in Interesting Times’ (2007) 7 </w:t>
      </w:r>
      <w:r>
        <w:rPr>
          <w:rFonts w:eastAsia="Times New Roman"/>
          <w:i/>
          <w:iCs/>
          <w:lang w:val="en-GB"/>
        </w:rPr>
        <w:t xml:space="preserve">International Criminal Law Review </w:t>
      </w:r>
      <w:r>
        <w:rPr>
          <w:rFonts w:eastAsia="Times New Roman"/>
          <w:lang w:val="en-GB"/>
        </w:rPr>
        <w:t>621-655.</w:t>
      </w:r>
    </w:p>
    <w:p w:rsidR="00561FE0" w:rsidRPr="00561FE0" w:rsidRDefault="000F439F" w:rsidP="00561FE0">
      <w:pPr>
        <w:numPr>
          <w:ilvl w:val="0"/>
          <w:numId w:val="6"/>
        </w:numPr>
        <w:spacing w:after="240" w:line="252" w:lineRule="auto"/>
        <w:rPr>
          <w:rFonts w:eastAsia="Times New Roman"/>
          <w:lang w:val="nl-BE"/>
        </w:rPr>
      </w:pPr>
      <w:r>
        <w:rPr>
          <w:rFonts w:eastAsia="Times New Roman"/>
          <w:lang w:val="en-GB"/>
        </w:rPr>
        <w:t>M</w:t>
      </w:r>
      <w:r w:rsidR="00DB567B">
        <w:rPr>
          <w:rFonts w:eastAsia="Times New Roman"/>
          <w:lang w:val="en-GB"/>
        </w:rPr>
        <w:t>.</w:t>
      </w:r>
      <w:r>
        <w:rPr>
          <w:rFonts w:eastAsia="Times New Roman"/>
          <w:lang w:val="en-GB"/>
        </w:rPr>
        <w:t xml:space="preserve"> </w:t>
      </w:r>
      <w:proofErr w:type="spellStart"/>
      <w:r>
        <w:rPr>
          <w:rFonts w:eastAsia="Times New Roman"/>
          <w:lang w:val="en-GB"/>
        </w:rPr>
        <w:t>Groenleer</w:t>
      </w:r>
      <w:proofErr w:type="spellEnd"/>
      <w:r>
        <w:rPr>
          <w:rFonts w:eastAsia="Times New Roman"/>
          <w:lang w:val="en-GB"/>
        </w:rPr>
        <w:t xml:space="preserve">, ‘The United States, the European Union, and the International Criminal Court: Similar Values, Different Interests?’ (2015) 13 </w:t>
      </w:r>
      <w:r>
        <w:rPr>
          <w:rFonts w:eastAsia="Times New Roman"/>
          <w:i/>
          <w:iCs/>
          <w:lang w:val="en-GB"/>
        </w:rPr>
        <w:t xml:space="preserve">International Journal of Constitutional Law </w:t>
      </w:r>
      <w:r>
        <w:rPr>
          <w:rFonts w:eastAsia="Times New Roman"/>
          <w:lang w:val="en-GB"/>
        </w:rPr>
        <w:t>923-944.</w:t>
      </w:r>
    </w:p>
    <w:p w:rsidR="000F439F" w:rsidRPr="00561FE0" w:rsidRDefault="000F439F" w:rsidP="00561FE0">
      <w:pPr>
        <w:numPr>
          <w:ilvl w:val="0"/>
          <w:numId w:val="6"/>
        </w:numPr>
        <w:spacing w:after="240" w:line="252" w:lineRule="auto"/>
        <w:rPr>
          <w:rFonts w:eastAsia="Times New Roman"/>
          <w:lang w:val="nl-BE"/>
        </w:rPr>
      </w:pPr>
      <w:r w:rsidRPr="00561FE0">
        <w:rPr>
          <w:color w:val="000000"/>
          <w:lang w:val="nl-NL"/>
        </w:rPr>
        <w:t>D. C. Thomas, ‘Rejecting the US challenge to the International Criminal Court: Normative entrapment and compromise in EU policy-making’, 46(4) </w:t>
      </w:r>
      <w:r w:rsidRPr="00561FE0">
        <w:rPr>
          <w:b/>
          <w:bCs/>
          <w:i/>
          <w:iCs/>
          <w:color w:val="000000"/>
          <w:lang w:val="nl-NL"/>
        </w:rPr>
        <w:fldChar w:fldCharType="begin"/>
      </w:r>
      <w:r w:rsidRPr="00561FE0">
        <w:rPr>
          <w:b/>
          <w:bCs/>
          <w:i/>
          <w:iCs/>
          <w:color w:val="000000"/>
          <w:lang w:val="nl-NL"/>
        </w:rPr>
        <w:instrText xml:space="preserve"> HYPERLINK "https://search-proquest-com.kuleuven.ezproxy.kuleuven.be/pubidlinkhandler/sng/pubtitle/International+Politics/$N/36410/DocView/203111256/fulltext/2787A29B5804447FPQ/1?accountid=17215" \o "Click to search for more items from this journal" </w:instrText>
      </w:r>
      <w:r w:rsidRPr="00561FE0">
        <w:rPr>
          <w:b/>
          <w:bCs/>
          <w:i/>
          <w:iCs/>
          <w:color w:val="000000"/>
          <w:lang w:val="nl-NL"/>
        </w:rPr>
        <w:fldChar w:fldCharType="separate"/>
      </w:r>
      <w:r w:rsidRPr="00561FE0">
        <w:rPr>
          <w:rStyle w:val="Hyperlink"/>
          <w:i/>
          <w:iCs/>
          <w:color w:val="000000"/>
          <w:u w:val="none"/>
          <w:lang w:val="nl-NL"/>
        </w:rPr>
        <w:t>International Politics</w:t>
      </w:r>
      <w:r w:rsidRPr="00561FE0">
        <w:rPr>
          <w:b/>
          <w:bCs/>
          <w:i/>
          <w:iCs/>
          <w:color w:val="000000"/>
          <w:lang w:val="nl-NL"/>
        </w:rPr>
        <w:fldChar w:fldCharType="end"/>
      </w:r>
      <w:r w:rsidRPr="00561FE0">
        <w:rPr>
          <w:b/>
          <w:bCs/>
          <w:color w:val="000000"/>
          <w:lang w:val="nl-NL"/>
        </w:rPr>
        <w:t> </w:t>
      </w:r>
      <w:r w:rsidRPr="00561FE0">
        <w:rPr>
          <w:color w:val="000000"/>
          <w:lang w:val="nl-NL"/>
        </w:rPr>
        <w:t>2009, 376-394.</w:t>
      </w:r>
    </w:p>
    <w:p w:rsidR="000F439F" w:rsidRDefault="000F439F" w:rsidP="00561FE0">
      <w:pPr>
        <w:pStyle w:val="ListParagraph"/>
        <w:numPr>
          <w:ilvl w:val="0"/>
          <w:numId w:val="6"/>
        </w:numPr>
        <w:spacing w:after="240" w:line="280" w:lineRule="atLeast"/>
        <w:rPr>
          <w:color w:val="000000"/>
          <w:lang w:val="nl-NL"/>
        </w:rPr>
      </w:pPr>
      <w:r w:rsidRPr="00561FE0">
        <w:rPr>
          <w:color w:val="000000"/>
          <w:lang w:val="nl-NL"/>
        </w:rPr>
        <w:t>M. L.P. Groenleer and L. G. Van Schaik, ‘United We Stand? The European Union’s International Actorness in the Cases of the International Criminal Court and the Kyoto Protocol*’,  45(5) </w:t>
      </w:r>
      <w:r w:rsidRPr="00561FE0">
        <w:rPr>
          <w:i/>
          <w:iCs/>
          <w:color w:val="000000"/>
          <w:lang w:val="nl-NL"/>
        </w:rPr>
        <w:t>JCMS</w:t>
      </w:r>
      <w:r w:rsidRPr="00561FE0">
        <w:rPr>
          <w:color w:val="000000"/>
          <w:lang w:val="nl-NL"/>
        </w:rPr>
        <w:t> 2007, 969-998.</w:t>
      </w:r>
    </w:p>
    <w:p w:rsidR="00561FE0" w:rsidRPr="00561FE0" w:rsidRDefault="00561FE0" w:rsidP="00561FE0">
      <w:pPr>
        <w:pStyle w:val="ListParagraph"/>
        <w:spacing w:after="240" w:line="280" w:lineRule="atLeast"/>
        <w:rPr>
          <w:color w:val="000000"/>
          <w:lang w:val="nl-NL"/>
        </w:rPr>
      </w:pPr>
    </w:p>
    <w:p w:rsidR="000F439F" w:rsidRPr="000F439F" w:rsidRDefault="000F439F" w:rsidP="00561FE0">
      <w:pPr>
        <w:pStyle w:val="ListParagraph"/>
        <w:numPr>
          <w:ilvl w:val="0"/>
          <w:numId w:val="6"/>
        </w:numPr>
        <w:spacing w:after="240" w:line="280" w:lineRule="atLeast"/>
        <w:rPr>
          <w:color w:val="000000"/>
          <w:lang w:val="nl-NL"/>
        </w:rPr>
      </w:pPr>
      <w:r w:rsidRPr="000F439F">
        <w:rPr>
          <w:color w:val="000000"/>
          <w:lang w:val="en-US"/>
        </w:rPr>
        <w:t xml:space="preserve">J. Wouters and S. </w:t>
      </w:r>
      <w:proofErr w:type="spellStart"/>
      <w:r w:rsidRPr="000F439F">
        <w:rPr>
          <w:color w:val="000000"/>
          <w:lang w:val="en-US"/>
        </w:rPr>
        <w:t>Basu</w:t>
      </w:r>
      <w:proofErr w:type="spellEnd"/>
      <w:r w:rsidRPr="000F439F">
        <w:rPr>
          <w:color w:val="000000"/>
          <w:lang w:val="en-US"/>
        </w:rPr>
        <w:t xml:space="preserve">, ‘The Creation of a Global Criminal Justice System: </w:t>
      </w:r>
      <w:proofErr w:type="gramStart"/>
      <w:r w:rsidRPr="000F439F">
        <w:rPr>
          <w:color w:val="000000"/>
          <w:lang w:val="en-US"/>
        </w:rPr>
        <w:t>the</w:t>
      </w:r>
      <w:proofErr w:type="gramEnd"/>
      <w:r w:rsidRPr="000F439F">
        <w:rPr>
          <w:color w:val="000000"/>
          <w:lang w:val="en-US"/>
        </w:rPr>
        <w:t xml:space="preserve"> European Union and the International Criminal Court’, in C. </w:t>
      </w:r>
      <w:proofErr w:type="spellStart"/>
      <w:r w:rsidRPr="000F439F">
        <w:rPr>
          <w:color w:val="000000"/>
          <w:lang w:val="en-US"/>
        </w:rPr>
        <w:t>Ryngaert</w:t>
      </w:r>
      <w:proofErr w:type="spellEnd"/>
      <w:r w:rsidRPr="000F439F">
        <w:rPr>
          <w:color w:val="000000"/>
          <w:lang w:val="en-US"/>
        </w:rPr>
        <w:t xml:space="preserve"> (ed.), The Effectiveness of International Criminal Justice, Antwerp - Oxford, </w:t>
      </w:r>
      <w:proofErr w:type="spellStart"/>
      <w:r w:rsidRPr="000F439F">
        <w:rPr>
          <w:color w:val="000000"/>
          <w:lang w:val="en-US"/>
        </w:rPr>
        <w:t>Intersentia</w:t>
      </w:r>
      <w:proofErr w:type="spellEnd"/>
      <w:r w:rsidRPr="000F439F">
        <w:rPr>
          <w:color w:val="000000"/>
          <w:lang w:val="en-US"/>
        </w:rPr>
        <w:t xml:space="preserve">, 2009, 117-142. </w:t>
      </w:r>
    </w:p>
    <w:p w:rsidR="000F439F" w:rsidRPr="000F439F" w:rsidRDefault="000F439F" w:rsidP="000F439F">
      <w:pPr>
        <w:spacing w:after="240" w:line="280" w:lineRule="atLeast"/>
        <w:ind w:left="720" w:hanging="360"/>
        <w:rPr>
          <w:color w:val="000000"/>
          <w:lang w:val="en-US"/>
        </w:rPr>
      </w:pPr>
    </w:p>
    <w:p w:rsidR="000F439F" w:rsidRPr="000F439F" w:rsidRDefault="000F439F">
      <w:pPr>
        <w:rPr>
          <w:lang w:val="nl-BE"/>
        </w:rPr>
      </w:pPr>
    </w:p>
    <w:sectPr w:rsidR="000F439F" w:rsidRPr="000F43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577"/>
    <w:multiLevelType w:val="hybridMultilevel"/>
    <w:tmpl w:val="43FA54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C1CF3"/>
    <w:multiLevelType w:val="hybridMultilevel"/>
    <w:tmpl w:val="C7E42D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C6759"/>
    <w:multiLevelType w:val="hybridMultilevel"/>
    <w:tmpl w:val="D5FA8BF0"/>
    <w:lvl w:ilvl="0" w:tplc="EA8C804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D78FE"/>
    <w:multiLevelType w:val="hybridMultilevel"/>
    <w:tmpl w:val="D2EAD2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5BA2C0E">
      <w:start w:val="10"/>
      <w:numFmt w:val="bullet"/>
      <w:lvlText w:val="-"/>
      <w:lvlJc w:val="left"/>
      <w:pPr>
        <w:ind w:left="1500" w:hanging="420"/>
      </w:pPr>
      <w:rPr>
        <w:rFonts w:ascii="Calibri" w:eastAsiaTheme="minorHAnsi" w:hAnsi="Calibri" w:cstheme="minorBidi" w:hint="default"/>
        <w:b w:val="0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C1FBB"/>
    <w:multiLevelType w:val="hybridMultilevel"/>
    <w:tmpl w:val="740C6630"/>
    <w:lvl w:ilvl="0" w:tplc="4FCE1B16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9F"/>
    <w:rsid w:val="000F439F"/>
    <w:rsid w:val="00561FE0"/>
    <w:rsid w:val="00AA06DB"/>
    <w:rsid w:val="00C12CAF"/>
    <w:rsid w:val="00DB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D7BF"/>
  <w15:chartTrackingRefBased/>
  <w15:docId w15:val="{D04AED91-47D9-4D7D-AA33-6EDA9970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439F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F4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Zenz</dc:creator>
  <cp:keywords/>
  <dc:description/>
  <cp:lastModifiedBy>Anna Zenz</cp:lastModifiedBy>
  <cp:revision>3</cp:revision>
  <dcterms:created xsi:type="dcterms:W3CDTF">2018-05-29T07:50:00Z</dcterms:created>
  <dcterms:modified xsi:type="dcterms:W3CDTF">2018-05-29T08:09:00Z</dcterms:modified>
</cp:coreProperties>
</file>